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23"/>
        <w:pBdr/>
        <w:spacing/>
        <w:ind/>
        <w:jc w:val="center"/>
        <w:rPr>
          <w:rFonts w:ascii="Segoe UI" w:hAnsi="Segoe UI" w:cs="Segoe UI"/>
          <w:b/>
          <w:bCs/>
          <w:sz w:val="32"/>
          <w:szCs w:val="32"/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 филиале ППК «Роскадастр» по Республик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е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Карелия рассказали о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п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олучени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и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сведений из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ГФДЗ</w:t>
      </w:r>
      <w:r>
        <w:rPr>
          <w:rFonts w:ascii="Segoe UI" w:hAnsi="Segoe UI" w:cs="Segoe UI"/>
          <w:b/>
          <w:sz w:val="32"/>
          <w:szCs w:val="32"/>
          <w:lang w:val="ru-RU"/>
        </w:rPr>
      </w:r>
      <w:r>
        <w:rPr>
          <w:lang w:val="ru-RU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Филиал публично-правовой компании «Роскадастр» по Республике Карелия с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1 января 2023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года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оказывает услугу по предоставлению сведений из государственного фонда данных, полученных в результате проведения землеустройства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(ГФДЗ)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На хранении в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региональном Роскадастре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находится землеустроительная документа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ция, планово-картографические материалы, материалы инвентаризации земель и другие документы, подготовленные в результате проведения землеустройства. Такие сведения могут помочь решить земельный спор, определить положение ранее учтенного земельного участка.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Информация, содержащаяся в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ГФДЗ,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является открытой и общедоступной, за исключением информации, отнесенной законодательством Р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оссийской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Ф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едерации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к категории ограниченного доступа.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Каждый житель Карелии может оперативно запросить и получить материалы из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ГФДЗ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с помощью портала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«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Госуслуг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и»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. Для этого необходимо сделать следующее: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- пройти авторизацию на портале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«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Госуслуг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и»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(https://www.gosuslugi.ru);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 - в поисковой строке ввести слова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: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«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сведения о землеустройстве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»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 - следовать инструкции по заполнению шаблона заявления.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Срок предоставления документации 1 рабочий день. Запрашиваемые документы предоставляются бесплатно. Ход исполнения заявления можно отслеживать самостоятельно в Личном кабинете на портале «Госуслуг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и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».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По результатам рассмотрения заявления в личный кабинет заявителя направляется ссылка и пароль на временное хранилище для скачивания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запрашиваемых документов. Данная ссылка действительна в течение 14 календарных дней, в связи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с чем необходимо своевременно скачивать запрошенные материалы.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Данной услугой с начала 2023 года по настоящее время воспользовалось более 6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 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000 заявителей, что демонстрирует высокий интерес к получению документов.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Запрос сведений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через портал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«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Госуслуг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и»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имеет свои преимущества: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 - возможность подачи заявления с мобильного устройства, имеющего доступ в интернет;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 - сокращенный срок получения услуги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- 1 рабочий день;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 - подача заявления минимизирует временные затраты;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- круглосуточная доступность сервиса.</w:t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  <w:lang w:eastAsia="en-US"/>
        </w:rPr>
        <w:t xml:space="preserve">Получить дополнительную информацию по вопросу предоставления сведений из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ГФДЗ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через портал «Госуслуг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и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» можно по телефону 8 (8142) 71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-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73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-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46 (доб.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 </w:t>
      </w:r>
      <w:r>
        <w:rPr>
          <w:rFonts w:ascii="Segoe UI" w:hAnsi="Segoe UI" w:eastAsia="Calibri" w:cs="Segoe UI"/>
          <w:sz w:val="20"/>
          <w:szCs w:val="20"/>
          <w:lang w:eastAsia="en-US"/>
        </w:rPr>
        <w:t xml:space="preserve">1).</w:t>
      </w:r>
      <w:r>
        <w:rPr>
          <w:rFonts w:ascii="Segoe UI" w:hAnsi="Segoe UI" w:eastAsia="Calibri" w:cs="Segoe UI"/>
          <w:sz w:val="20"/>
          <w:szCs w:val="20"/>
        </w:rPr>
      </w:r>
    </w:p>
    <w:p>
      <w:pPr>
        <w:pBdr/>
        <w:shd w:val="clear" w:color="auto" w:fill="ffffff"/>
        <w:spacing/>
        <w:ind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</w:rPr>
      </w:r>
      <w:r>
        <w:rPr>
          <w:rFonts w:ascii="Segoe UI" w:hAnsi="Segoe UI" w:eastAsia="Calibri" w:cs="Segoe UI"/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 w:cs="Segoe UI"/>
          <w:sz w:val="20"/>
          <w:szCs w:val="20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  <w:sz w:val="20"/>
          <w:szCs w:val="20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905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05"/>
          <w:rFonts w:ascii="Segoe UI" w:hAnsi="Segoe UI" w:cs="Segoe UI"/>
          <w:color w:val="2a5885"/>
          <w:sz w:val="20"/>
          <w:szCs w:val="20"/>
          <w:shd w:val="clear" w:color="auto" w:fill="ffffff"/>
        </w:rPr>
        <w:t xml:space="preserve">#РоскадастрКарелии</w:t>
      </w:r>
      <w:r>
        <w:rPr>
          <w:rStyle w:val="905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2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179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0.8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9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9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9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9"/>
    <w:link w:val="7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9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9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9"/>
    <w:link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9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9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9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9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3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9"/>
    <w:link w:val="902"/>
    <w:uiPriority w:val="99"/>
    <w:semiHidden/>
    <w:pPr>
      <w:pBdr/>
      <w:spacing/>
      <w:ind/>
    </w:pPr>
    <w:rPr>
      <w:sz w:val="20"/>
      <w:szCs w:val="20"/>
    </w:rPr>
  </w:style>
  <w:style w:type="paragraph" w:styleId="729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30">
    <w:name w:val="Heading 1"/>
    <w:basedOn w:val="729"/>
    <w:next w:val="729"/>
    <w:link w:val="8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31">
    <w:name w:val="Heading 2"/>
    <w:basedOn w:val="729"/>
    <w:next w:val="729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2">
    <w:name w:val="Heading 3"/>
    <w:basedOn w:val="729"/>
    <w:next w:val="729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3">
    <w:name w:val="Heading 4"/>
    <w:basedOn w:val="729"/>
    <w:next w:val="729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4">
    <w:name w:val="Heading 5"/>
    <w:basedOn w:val="729"/>
    <w:next w:val="729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5">
    <w:name w:val="Heading 6"/>
    <w:basedOn w:val="729"/>
    <w:next w:val="729"/>
    <w:link w:val="87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6">
    <w:name w:val="Heading 7"/>
    <w:basedOn w:val="729"/>
    <w:next w:val="729"/>
    <w:link w:val="87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7">
    <w:name w:val="Heading 8"/>
    <w:basedOn w:val="729"/>
    <w:next w:val="729"/>
    <w:link w:val="87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8">
    <w:name w:val="Heading 9"/>
    <w:basedOn w:val="729"/>
    <w:next w:val="729"/>
    <w:link w:val="87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table" w:styleId="742">
    <w:name w:val="Table Grid"/>
    <w:basedOn w:val="74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Table Grid Light"/>
    <w:basedOn w:val="74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74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740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1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2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3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5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6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1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2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6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 w:customStyle="1">
    <w:name w:val="Заголовок 1 Знак"/>
    <w:link w:val="730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69" w:customStyle="1">
    <w:name w:val="Заголовок 2 Знак"/>
    <w:link w:val="731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0" w:customStyle="1">
    <w:name w:val="Заголовок 3 Знак"/>
    <w:link w:val="732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1" w:customStyle="1">
    <w:name w:val="Заголовок 4 Знак"/>
    <w:link w:val="733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2" w:customStyle="1">
    <w:name w:val="Заголовок 5 Знак"/>
    <w:link w:val="734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3" w:customStyle="1">
    <w:name w:val="Заголовок 6 Знак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4" w:customStyle="1">
    <w:name w:val="Заголовок 7 Знак"/>
    <w:link w:val="736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5" w:customStyle="1">
    <w:name w:val="Заголовок 8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6" w:customStyle="1">
    <w:name w:val="Заголовок 9 Знак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77">
    <w:name w:val="Title"/>
    <w:basedOn w:val="729"/>
    <w:next w:val="729"/>
    <w:link w:val="87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8" w:customStyle="1">
    <w:name w:val="Заголовок Знак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729"/>
    <w:next w:val="729"/>
    <w:link w:val="880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0" w:customStyle="1">
    <w:name w:val="Подзаголовок Знак"/>
    <w:link w:val="879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1">
    <w:name w:val="Quote"/>
    <w:basedOn w:val="729"/>
    <w:next w:val="729"/>
    <w:link w:val="88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2" w:customStyle="1">
    <w:name w:val="Цитата 2 Знак"/>
    <w:link w:val="881"/>
    <w:uiPriority w:val="29"/>
    <w:pPr>
      <w:pBdr/>
      <w:spacing/>
      <w:ind/>
    </w:pPr>
    <w:rPr>
      <w:i/>
      <w:iCs/>
      <w:color w:val="404040"/>
    </w:rPr>
  </w:style>
  <w:style w:type="paragraph" w:styleId="883">
    <w:name w:val="List Paragraph"/>
    <w:basedOn w:val="729"/>
    <w:uiPriority w:val="34"/>
    <w:qFormat/>
    <w:pPr>
      <w:pBdr/>
      <w:spacing/>
      <w:ind w:left="720"/>
      <w:contextualSpacing w:val="true"/>
    </w:pPr>
    <w:rPr>
      <w:szCs w:val="20"/>
    </w:rPr>
  </w:style>
  <w:style w:type="character" w:styleId="884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5">
    <w:name w:val="Intense Quote"/>
    <w:basedOn w:val="729"/>
    <w:next w:val="729"/>
    <w:link w:val="886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6" w:customStyle="1">
    <w:name w:val="Выделенная цитата Знак"/>
    <w:link w:val="885"/>
    <w:uiPriority w:val="30"/>
    <w:pPr>
      <w:pBdr/>
      <w:spacing/>
      <w:ind/>
    </w:pPr>
    <w:rPr>
      <w:i/>
      <w:iCs/>
      <w:color w:val="365f91"/>
    </w:rPr>
  </w:style>
  <w:style w:type="character" w:styleId="887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88">
    <w:name w:val="No Spacing"/>
    <w:basedOn w:val="729"/>
    <w:uiPriority w:val="1"/>
    <w:qFormat/>
    <w:pPr>
      <w:pBdr/>
      <w:spacing/>
      <w:ind/>
    </w:pPr>
  </w:style>
  <w:style w:type="character" w:styleId="889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0">
    <w:name w:val="Emphasis"/>
    <w:uiPriority w:val="20"/>
    <w:qFormat/>
    <w:pPr>
      <w:pBdr/>
      <w:spacing/>
      <w:ind/>
    </w:pPr>
    <w:rPr>
      <w:i/>
      <w:iCs/>
    </w:rPr>
  </w:style>
  <w:style w:type="character" w:styleId="891">
    <w:name w:val="Strong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3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4">
    <w:name w:val="Header"/>
    <w:basedOn w:val="729"/>
    <w:link w:val="91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895" w:customStyle="1">
    <w:name w:val="Header Char"/>
    <w:basedOn w:val="739"/>
    <w:uiPriority w:val="99"/>
    <w:pPr>
      <w:pBdr/>
      <w:spacing/>
      <w:ind/>
    </w:pPr>
  </w:style>
  <w:style w:type="paragraph" w:styleId="896">
    <w:name w:val="Footer"/>
    <w:basedOn w:val="729"/>
    <w:link w:val="91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7" w:customStyle="1">
    <w:name w:val="Footer Char"/>
    <w:basedOn w:val="739"/>
    <w:uiPriority w:val="99"/>
    <w:pPr>
      <w:pBdr/>
      <w:spacing/>
      <w:ind/>
    </w:pPr>
  </w:style>
  <w:style w:type="paragraph" w:styleId="898">
    <w:name w:val="Caption"/>
    <w:basedOn w:val="729"/>
    <w:next w:val="729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99">
    <w:name w:val="footnote text"/>
    <w:basedOn w:val="729"/>
    <w:link w:val="90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0" w:customStyle="1">
    <w:name w:val="Текст сноски Знак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729"/>
    <w:link w:val="90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3" w:customStyle="1">
    <w:name w:val="Текст концевой сноски Знак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Hyperlink"/>
    <w:pPr>
      <w:pBdr/>
      <w:spacing/>
      <w:ind/>
    </w:pPr>
    <w:rPr>
      <w:color w:val="0000ff"/>
      <w:u w:val="single"/>
    </w:rPr>
  </w:style>
  <w:style w:type="character" w:styleId="906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07">
    <w:name w:val="toc 1"/>
    <w:basedOn w:val="729"/>
    <w:next w:val="729"/>
    <w:uiPriority w:val="39"/>
    <w:unhideWhenUsed/>
    <w:pPr>
      <w:pBdr/>
      <w:spacing w:after="100"/>
      <w:ind/>
    </w:pPr>
  </w:style>
  <w:style w:type="paragraph" w:styleId="908">
    <w:name w:val="toc 2"/>
    <w:basedOn w:val="729"/>
    <w:next w:val="729"/>
    <w:uiPriority w:val="39"/>
    <w:unhideWhenUsed/>
    <w:pPr>
      <w:pBdr/>
      <w:spacing w:after="100"/>
      <w:ind w:left="220"/>
    </w:pPr>
  </w:style>
  <w:style w:type="paragraph" w:styleId="909">
    <w:name w:val="toc 3"/>
    <w:basedOn w:val="729"/>
    <w:next w:val="729"/>
    <w:uiPriority w:val="39"/>
    <w:unhideWhenUsed/>
    <w:pPr>
      <w:pBdr/>
      <w:spacing w:after="100"/>
      <w:ind w:left="440"/>
    </w:pPr>
  </w:style>
  <w:style w:type="paragraph" w:styleId="910">
    <w:name w:val="toc 4"/>
    <w:basedOn w:val="729"/>
    <w:next w:val="729"/>
    <w:uiPriority w:val="39"/>
    <w:unhideWhenUsed/>
    <w:pPr>
      <w:pBdr/>
      <w:spacing w:after="100"/>
      <w:ind w:left="660"/>
    </w:pPr>
  </w:style>
  <w:style w:type="paragraph" w:styleId="911">
    <w:name w:val="toc 5"/>
    <w:basedOn w:val="729"/>
    <w:next w:val="729"/>
    <w:uiPriority w:val="39"/>
    <w:unhideWhenUsed/>
    <w:pPr>
      <w:pBdr/>
      <w:spacing w:after="100"/>
      <w:ind w:left="880"/>
    </w:pPr>
  </w:style>
  <w:style w:type="paragraph" w:styleId="912">
    <w:name w:val="toc 6"/>
    <w:basedOn w:val="729"/>
    <w:next w:val="729"/>
    <w:uiPriority w:val="39"/>
    <w:unhideWhenUsed/>
    <w:pPr>
      <w:pBdr/>
      <w:spacing w:after="100"/>
      <w:ind w:left="1100"/>
    </w:pPr>
  </w:style>
  <w:style w:type="paragraph" w:styleId="913">
    <w:name w:val="toc 7"/>
    <w:basedOn w:val="729"/>
    <w:next w:val="729"/>
    <w:uiPriority w:val="39"/>
    <w:unhideWhenUsed/>
    <w:pPr>
      <w:pBdr/>
      <w:spacing w:after="100"/>
      <w:ind w:left="1320"/>
    </w:pPr>
  </w:style>
  <w:style w:type="paragraph" w:styleId="914">
    <w:name w:val="toc 8"/>
    <w:basedOn w:val="729"/>
    <w:next w:val="729"/>
    <w:uiPriority w:val="39"/>
    <w:unhideWhenUsed/>
    <w:pPr>
      <w:pBdr/>
      <w:spacing w:after="100"/>
      <w:ind w:left="1540"/>
    </w:pPr>
  </w:style>
  <w:style w:type="paragraph" w:styleId="915">
    <w:name w:val="toc 9"/>
    <w:basedOn w:val="729"/>
    <w:next w:val="729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7">
    <w:name w:val="table of figures"/>
    <w:basedOn w:val="729"/>
    <w:next w:val="729"/>
    <w:uiPriority w:val="99"/>
    <w:unhideWhenUsed/>
    <w:pPr>
      <w:pBdr/>
      <w:spacing/>
      <w:ind/>
    </w:pPr>
  </w:style>
  <w:style w:type="character" w:styleId="918" w:customStyle="1">
    <w:name w:val="Верхний колонтитул Знак"/>
    <w:basedOn w:val="739"/>
    <w:link w:val="894"/>
    <w:uiPriority w:val="99"/>
    <w:pPr>
      <w:pBdr/>
      <w:spacing/>
      <w:ind/>
    </w:pPr>
  </w:style>
  <w:style w:type="character" w:styleId="919" w:customStyle="1">
    <w:name w:val="Нижний колонтитул Знак"/>
    <w:basedOn w:val="739"/>
    <w:link w:val="896"/>
    <w:uiPriority w:val="99"/>
    <w:pPr>
      <w:pBdr/>
      <w:spacing/>
      <w:ind/>
    </w:pPr>
  </w:style>
  <w:style w:type="paragraph" w:styleId="920">
    <w:name w:val="Balloon Text"/>
    <w:basedOn w:val="729"/>
    <w:link w:val="921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1" w:customStyle="1">
    <w:name w:val="Текст выноски Знак"/>
    <w:link w:val="92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2" w:customStyle="1">
    <w:name w:val="ConsPlusNormal"/>
    <w:pPr>
      <w:pBdr/>
      <w:spacing/>
      <w:ind w:firstLine="720"/>
    </w:pPr>
    <w:rPr>
      <w:rFonts w:ascii="Arial" w:hAnsi="Arial" w:eastAsia="Times New Roman" w:cs="Arial"/>
    </w:rPr>
  </w:style>
  <w:style w:type="paragraph" w:styleId="923">
    <w:name w:val="Plain Text"/>
    <w:basedOn w:val="729"/>
    <w:link w:val="924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24" w:customStyle="1">
    <w:name w:val="Текст Знак"/>
    <w:link w:val="923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25" w:customStyle="1">
    <w:name w:val="paragraph scxw163741632 bcx0"/>
    <w:basedOn w:val="729"/>
    <w:pPr>
      <w:pBdr/>
      <w:spacing w:after="100" w:afterAutospacing="1" w:before="100" w:beforeAutospacing="1"/>
      <w:ind/>
    </w:pPr>
  </w:style>
  <w:style w:type="character" w:styleId="926" w:customStyle="1">
    <w:name w:val="Интернет-ссылка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27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2026-05-25T07:53:00Z</dcterms:created>
  <dcterms:modified xsi:type="dcterms:W3CDTF">2026-05-25T11:56:50Z</dcterms:modified>
  <cp:version>786432</cp:version>
</cp:coreProperties>
</file>